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1B7030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C541E15" w:rsidR="00AE4620" w:rsidRDefault="00F458EF" w:rsidP="003342C9">
      <w:pPr>
        <w:pStyle w:val="Heading1"/>
      </w:pPr>
      <w:r>
        <w:t xml:space="preserve">Lesson </w:t>
      </w:r>
      <w:r w:rsidR="00920AC4">
        <w:t>18.</w:t>
      </w:r>
      <w:r w:rsidR="000F20F4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6EF76FAA" w14:textId="77777777" w:rsidR="001C2D7E" w:rsidRDefault="001C2D7E" w:rsidP="001C2D7E">
      <w:pPr>
        <w:pStyle w:val="listb1"/>
      </w:pPr>
      <w:r>
        <w:t>business life cycle</w:t>
      </w:r>
    </w:p>
    <w:p w14:paraId="3879AB94" w14:textId="77777777" w:rsidR="001C2D7E" w:rsidRDefault="001C2D7E" w:rsidP="000F20F4">
      <w:pPr>
        <w:pStyle w:val="answer"/>
      </w:pPr>
      <w:r>
        <w:t>Definition:</w:t>
      </w:r>
    </w:p>
    <w:p w14:paraId="2583BAFB" w14:textId="77777777" w:rsidR="001C2D7E" w:rsidRDefault="001C2D7E" w:rsidP="001C2D7E">
      <w:pPr>
        <w:pStyle w:val="listb1"/>
      </w:pPr>
      <w:r>
        <w:t>buy-sell agreement</w:t>
      </w:r>
    </w:p>
    <w:p w14:paraId="1231A8E0" w14:textId="77777777" w:rsidR="001C2D7E" w:rsidRDefault="001C2D7E" w:rsidP="000F20F4">
      <w:pPr>
        <w:pStyle w:val="answer"/>
      </w:pPr>
      <w:r>
        <w:t>Definition:</w:t>
      </w:r>
    </w:p>
    <w:p w14:paraId="49A8EA27" w14:textId="77777777" w:rsidR="001C2D7E" w:rsidRDefault="001C2D7E" w:rsidP="001C2D7E">
      <w:pPr>
        <w:pStyle w:val="listb1"/>
      </w:pPr>
      <w:r>
        <w:t>dissolution documents</w:t>
      </w:r>
    </w:p>
    <w:p w14:paraId="08BB40F0" w14:textId="77777777" w:rsidR="001C2D7E" w:rsidRDefault="001C2D7E" w:rsidP="000F20F4">
      <w:pPr>
        <w:pStyle w:val="answer"/>
      </w:pPr>
      <w:r>
        <w:t>Definition:</w:t>
      </w:r>
    </w:p>
    <w:p w14:paraId="702BB222" w14:textId="77777777" w:rsidR="001C2D7E" w:rsidRDefault="001C2D7E" w:rsidP="001C2D7E">
      <w:pPr>
        <w:pStyle w:val="listb1"/>
      </w:pPr>
      <w:r>
        <w:t>employee buyout (EB)</w:t>
      </w:r>
    </w:p>
    <w:p w14:paraId="1396AB51" w14:textId="77777777" w:rsidR="001C2D7E" w:rsidRDefault="001C2D7E" w:rsidP="000F20F4">
      <w:pPr>
        <w:pStyle w:val="answer"/>
      </w:pPr>
      <w:r>
        <w:t>Definition:</w:t>
      </w:r>
    </w:p>
    <w:p w14:paraId="3EA80541" w14:textId="44AF7906" w:rsidR="001C2D7E" w:rsidRDefault="001C2D7E" w:rsidP="001C2D7E">
      <w:pPr>
        <w:pStyle w:val="listb1"/>
      </w:pPr>
      <w:r>
        <w:t>employee stock option plan (ESOP)</w:t>
      </w:r>
    </w:p>
    <w:p w14:paraId="7EC93BF2" w14:textId="77777777" w:rsidR="001C2D7E" w:rsidRDefault="001C2D7E" w:rsidP="000F20F4">
      <w:pPr>
        <w:pStyle w:val="answer"/>
      </w:pPr>
      <w:r>
        <w:t>Definition:</w:t>
      </w:r>
    </w:p>
    <w:p w14:paraId="4EDE5A71" w14:textId="77777777" w:rsidR="001C2D7E" w:rsidRDefault="001C2D7E" w:rsidP="001C2D7E">
      <w:pPr>
        <w:pStyle w:val="listb1"/>
      </w:pPr>
      <w:r>
        <w:t>financial planning</w:t>
      </w:r>
    </w:p>
    <w:p w14:paraId="53234C51" w14:textId="77777777" w:rsidR="001C2D7E" w:rsidRDefault="001C2D7E" w:rsidP="000F20F4">
      <w:pPr>
        <w:pStyle w:val="answer"/>
      </w:pPr>
      <w:r>
        <w:t>Definition:</w:t>
      </w:r>
    </w:p>
    <w:p w14:paraId="434073FF" w14:textId="77777777" w:rsidR="001C2D7E" w:rsidRDefault="001C2D7E" w:rsidP="001C2D7E">
      <w:pPr>
        <w:pStyle w:val="listb1"/>
      </w:pPr>
      <w:r>
        <w:t>gradual sale</w:t>
      </w:r>
    </w:p>
    <w:p w14:paraId="1CF3240F" w14:textId="77777777" w:rsidR="001C2D7E" w:rsidRDefault="001C2D7E" w:rsidP="000F20F4">
      <w:pPr>
        <w:pStyle w:val="answer"/>
      </w:pPr>
      <w:r>
        <w:lastRenderedPageBreak/>
        <w:t>Definition:</w:t>
      </w:r>
    </w:p>
    <w:p w14:paraId="1AAEDA67" w14:textId="77777777" w:rsidR="001C2D7E" w:rsidRDefault="001C2D7E" w:rsidP="001C2D7E">
      <w:pPr>
        <w:pStyle w:val="listb1"/>
      </w:pPr>
      <w:r>
        <w:t>harvest strategy</w:t>
      </w:r>
    </w:p>
    <w:p w14:paraId="6C5A333A" w14:textId="77777777" w:rsidR="001C2D7E" w:rsidRDefault="001C2D7E" w:rsidP="000F20F4">
      <w:pPr>
        <w:pStyle w:val="answer"/>
      </w:pPr>
      <w:r>
        <w:t>Definition:</w:t>
      </w:r>
    </w:p>
    <w:p w14:paraId="50F0EF66" w14:textId="5D6126EB" w:rsidR="001C2D7E" w:rsidRDefault="001C2D7E" w:rsidP="001C2D7E">
      <w:pPr>
        <w:pStyle w:val="listb1"/>
      </w:pPr>
      <w:r>
        <w:t>initial public offering (IPO)</w:t>
      </w:r>
    </w:p>
    <w:p w14:paraId="218AFED6" w14:textId="77777777" w:rsidR="001C2D7E" w:rsidRDefault="001C2D7E" w:rsidP="000F20F4">
      <w:pPr>
        <w:pStyle w:val="answer"/>
      </w:pPr>
      <w:r>
        <w:t>Definition:</w:t>
      </w:r>
    </w:p>
    <w:p w14:paraId="461CF8E4" w14:textId="77777777" w:rsidR="001C2D7E" w:rsidRDefault="001C2D7E" w:rsidP="001C2D7E">
      <w:pPr>
        <w:pStyle w:val="listb1"/>
      </w:pPr>
      <w:r>
        <w:t>investing</w:t>
      </w:r>
    </w:p>
    <w:p w14:paraId="77E0A2DB" w14:textId="77777777" w:rsidR="001C2D7E" w:rsidRDefault="001C2D7E" w:rsidP="000F20F4">
      <w:pPr>
        <w:pStyle w:val="answer"/>
      </w:pPr>
      <w:r>
        <w:t>Definition:</w:t>
      </w:r>
    </w:p>
    <w:p w14:paraId="60851EB0" w14:textId="77777777" w:rsidR="001C2D7E" w:rsidRDefault="001C2D7E" w:rsidP="001C2D7E">
      <w:pPr>
        <w:pStyle w:val="listb1"/>
      </w:pPr>
      <w:r>
        <w:t>lease agreement</w:t>
      </w:r>
    </w:p>
    <w:p w14:paraId="4580E200" w14:textId="77777777" w:rsidR="001C2D7E" w:rsidRDefault="001C2D7E" w:rsidP="000F20F4">
      <w:pPr>
        <w:pStyle w:val="answer"/>
      </w:pPr>
      <w:r>
        <w:t>Definition:</w:t>
      </w:r>
    </w:p>
    <w:p w14:paraId="6DF73A4C" w14:textId="77777777" w:rsidR="001C2D7E" w:rsidRDefault="001C2D7E" w:rsidP="001C2D7E">
      <w:pPr>
        <w:pStyle w:val="listb1"/>
      </w:pPr>
      <w:r>
        <w:t>liquidation</w:t>
      </w:r>
    </w:p>
    <w:p w14:paraId="2567260C" w14:textId="77777777" w:rsidR="001C2D7E" w:rsidRDefault="001C2D7E" w:rsidP="000F20F4">
      <w:pPr>
        <w:pStyle w:val="answer"/>
      </w:pPr>
      <w:r>
        <w:t>Definition:</w:t>
      </w:r>
    </w:p>
    <w:p w14:paraId="4084792F" w14:textId="77777777" w:rsidR="001C2D7E" w:rsidRDefault="001C2D7E" w:rsidP="001C2D7E">
      <w:pPr>
        <w:pStyle w:val="listb1"/>
      </w:pPr>
      <w:r>
        <w:t>outright sale</w:t>
      </w:r>
    </w:p>
    <w:p w14:paraId="5A248CA1" w14:textId="77777777" w:rsidR="001C2D7E" w:rsidRDefault="001C2D7E" w:rsidP="000F20F4">
      <w:pPr>
        <w:pStyle w:val="answer"/>
      </w:pPr>
      <w:r>
        <w:t>Definition:</w:t>
      </w:r>
    </w:p>
    <w:p w14:paraId="3529D86A" w14:textId="77777777" w:rsidR="001C2D7E" w:rsidRDefault="001C2D7E" w:rsidP="001C2D7E">
      <w:pPr>
        <w:pStyle w:val="listb1"/>
      </w:pPr>
      <w:r>
        <w:t>succession plan</w:t>
      </w:r>
    </w:p>
    <w:p w14:paraId="15B40B32" w14:textId="77777777" w:rsidR="001C2D7E" w:rsidRDefault="001C2D7E" w:rsidP="000F20F4">
      <w:pPr>
        <w:pStyle w:val="answer"/>
      </w:pPr>
      <w:r>
        <w:t>Definition:</w:t>
      </w:r>
    </w:p>
    <w:p w14:paraId="35579C3E" w14:textId="4A5A81C6" w:rsidR="00C95647" w:rsidRDefault="001C2D7E" w:rsidP="001C2D7E">
      <w:pPr>
        <w:pStyle w:val="listb1"/>
      </w:pPr>
      <w:r>
        <w:t>Workers Adjustment and Retraining Notification Act (WARN)</w:t>
      </w:r>
    </w:p>
    <w:p w14:paraId="12DA6206" w14:textId="77777777" w:rsidR="001C2D7E" w:rsidRDefault="001C2D7E" w:rsidP="000F20F4">
      <w:pPr>
        <w:pStyle w:val="answer"/>
      </w:pPr>
      <w:r>
        <w:t>Definition:</w:t>
      </w:r>
    </w:p>
    <w:sectPr w:rsidR="001C2D7E" w:rsidSect="008F4B3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0F89" w14:textId="77777777" w:rsidR="0005614F" w:rsidRDefault="0005614F" w:rsidP="0043769A">
      <w:pPr>
        <w:spacing w:after="0" w:line="240" w:lineRule="auto"/>
      </w:pPr>
      <w:r>
        <w:separator/>
      </w:r>
    </w:p>
  </w:endnote>
  <w:endnote w:type="continuationSeparator" w:id="0">
    <w:p w14:paraId="55BDDA26" w14:textId="77777777" w:rsidR="0005614F" w:rsidRDefault="0005614F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08AC6FB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39B5" w14:textId="77777777" w:rsidR="0005614F" w:rsidRDefault="0005614F" w:rsidP="0043769A">
      <w:pPr>
        <w:spacing w:after="0" w:line="240" w:lineRule="auto"/>
      </w:pPr>
      <w:r>
        <w:separator/>
      </w:r>
    </w:p>
  </w:footnote>
  <w:footnote w:type="continuationSeparator" w:id="0">
    <w:p w14:paraId="46BA1DB1" w14:textId="77777777" w:rsidR="0005614F" w:rsidRDefault="0005614F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BB02025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920AC4">
      <w:t>18.</w:t>
    </w:r>
    <w:r w:rsidR="000F20F4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 w:numId="43" w16cid:durableId="1294292146">
    <w:abstractNumId w:val="26"/>
  </w:num>
  <w:num w:numId="44" w16cid:durableId="829440737">
    <w:abstractNumId w:val="26"/>
  </w:num>
  <w:num w:numId="45" w16cid:durableId="1462305964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40107"/>
    <w:rsid w:val="00046A7F"/>
    <w:rsid w:val="0005614F"/>
    <w:rsid w:val="0008463C"/>
    <w:rsid w:val="000913FA"/>
    <w:rsid w:val="000A2899"/>
    <w:rsid w:val="000D4DCD"/>
    <w:rsid w:val="000F20F4"/>
    <w:rsid w:val="00107A89"/>
    <w:rsid w:val="00122D05"/>
    <w:rsid w:val="00130733"/>
    <w:rsid w:val="00137C6B"/>
    <w:rsid w:val="00143790"/>
    <w:rsid w:val="00144146"/>
    <w:rsid w:val="00194B6B"/>
    <w:rsid w:val="001C2D7E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365D9"/>
    <w:rsid w:val="003467C3"/>
    <w:rsid w:val="00347ED5"/>
    <w:rsid w:val="00350325"/>
    <w:rsid w:val="00385C9E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81B69"/>
    <w:rsid w:val="0049403F"/>
    <w:rsid w:val="004B34B0"/>
    <w:rsid w:val="004B670C"/>
    <w:rsid w:val="004C6329"/>
    <w:rsid w:val="004C6D66"/>
    <w:rsid w:val="004D016C"/>
    <w:rsid w:val="004D02AB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14A6E"/>
    <w:rsid w:val="00624E57"/>
    <w:rsid w:val="006278E6"/>
    <w:rsid w:val="00630034"/>
    <w:rsid w:val="00670E42"/>
    <w:rsid w:val="00684B6F"/>
    <w:rsid w:val="006902CC"/>
    <w:rsid w:val="0069216F"/>
    <w:rsid w:val="006A552A"/>
    <w:rsid w:val="006C19FD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7F4EF3"/>
    <w:rsid w:val="00810BD5"/>
    <w:rsid w:val="0081319E"/>
    <w:rsid w:val="00870941"/>
    <w:rsid w:val="0089661E"/>
    <w:rsid w:val="008B5CB2"/>
    <w:rsid w:val="008C418C"/>
    <w:rsid w:val="008D7267"/>
    <w:rsid w:val="008F4B31"/>
    <w:rsid w:val="00920AC4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65774"/>
    <w:rsid w:val="00B7213D"/>
    <w:rsid w:val="00B74849"/>
    <w:rsid w:val="00B94282"/>
    <w:rsid w:val="00BB4DEF"/>
    <w:rsid w:val="00BC0B93"/>
    <w:rsid w:val="00C1240D"/>
    <w:rsid w:val="00C13395"/>
    <w:rsid w:val="00C34659"/>
    <w:rsid w:val="00C95647"/>
    <w:rsid w:val="00CA427E"/>
    <w:rsid w:val="00CB1DB8"/>
    <w:rsid w:val="00CD19B6"/>
    <w:rsid w:val="00CE44A5"/>
    <w:rsid w:val="00CE5671"/>
    <w:rsid w:val="00CF6FE5"/>
    <w:rsid w:val="00D0423F"/>
    <w:rsid w:val="00D11847"/>
    <w:rsid w:val="00D127EA"/>
    <w:rsid w:val="00D17F3B"/>
    <w:rsid w:val="00D21524"/>
    <w:rsid w:val="00D25470"/>
    <w:rsid w:val="00D25F1B"/>
    <w:rsid w:val="00D278DF"/>
    <w:rsid w:val="00D3551B"/>
    <w:rsid w:val="00D42495"/>
    <w:rsid w:val="00D63144"/>
    <w:rsid w:val="00D84F3C"/>
    <w:rsid w:val="00D91B94"/>
    <w:rsid w:val="00DC5CA6"/>
    <w:rsid w:val="00E066DE"/>
    <w:rsid w:val="00E16E7F"/>
    <w:rsid w:val="00E23211"/>
    <w:rsid w:val="00E73AC6"/>
    <w:rsid w:val="00E7620C"/>
    <w:rsid w:val="00E76E6C"/>
    <w:rsid w:val="00E8384B"/>
    <w:rsid w:val="00E84D93"/>
    <w:rsid w:val="00E90016"/>
    <w:rsid w:val="00EA335B"/>
    <w:rsid w:val="00EB136C"/>
    <w:rsid w:val="00EB5BD0"/>
    <w:rsid w:val="00EC4439"/>
    <w:rsid w:val="00ED69E5"/>
    <w:rsid w:val="00EE7F6E"/>
    <w:rsid w:val="00EF2F72"/>
    <w:rsid w:val="00F04009"/>
    <w:rsid w:val="00F22F27"/>
    <w:rsid w:val="00F2745F"/>
    <w:rsid w:val="00F30D0A"/>
    <w:rsid w:val="00F432EE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CD3D-05CD-4741-A413-1421A8C51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2025-09-18T19:14:00Z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